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A018A0" w14:paraId="22C82B8F" w14:textId="77777777" w:rsidTr="00B8190E">
        <w:trPr>
          <w:trHeight w:val="214"/>
        </w:trPr>
        <w:tc>
          <w:tcPr>
            <w:tcW w:w="3970" w:type="dxa"/>
            <w:shd w:val="clear" w:color="auto" w:fill="BFBFBF" w:themeFill="background1" w:themeFillShade="BF"/>
          </w:tcPr>
          <w:p w14:paraId="67DF38A1" w14:textId="77777777" w:rsidR="008B110E" w:rsidRPr="00A018A0" w:rsidRDefault="008B110E" w:rsidP="008C5BB1">
            <w:pPr>
              <w:spacing w:before="20" w:after="20"/>
              <w:rPr>
                <w:rFonts w:cs="Arial"/>
                <w:b/>
                <w:bCs/>
                <w:sz w:val="20"/>
                <w:szCs w:val="20"/>
                <w:lang w:val="en-AU" w:eastAsia="en-AU"/>
              </w:rPr>
            </w:pPr>
            <w:r w:rsidRPr="00A018A0">
              <w:rPr>
                <w:rFonts w:cs="Arial"/>
                <w:b/>
                <w:bCs/>
                <w:sz w:val="20"/>
                <w:szCs w:val="20"/>
                <w:lang w:val="en-AU" w:eastAsia="en-AU"/>
              </w:rPr>
              <w:t>Clause</w:t>
            </w:r>
          </w:p>
        </w:tc>
        <w:tc>
          <w:tcPr>
            <w:tcW w:w="3969" w:type="dxa"/>
            <w:shd w:val="clear" w:color="auto" w:fill="BFBFBF" w:themeFill="background1" w:themeFillShade="BF"/>
          </w:tcPr>
          <w:p w14:paraId="798C7431" w14:textId="77777777" w:rsidR="008B110E" w:rsidRPr="00A018A0" w:rsidRDefault="00565A1C" w:rsidP="008C5BB1">
            <w:pPr>
              <w:spacing w:before="20" w:after="20"/>
              <w:rPr>
                <w:rFonts w:cs="Arial"/>
                <w:b/>
                <w:bCs/>
                <w:sz w:val="20"/>
                <w:szCs w:val="20"/>
                <w:lang w:val="en-AU" w:eastAsia="en-AU"/>
              </w:rPr>
            </w:pPr>
            <w:r w:rsidRPr="00A018A0">
              <w:rPr>
                <w:rFonts w:cs="Arial"/>
                <w:b/>
                <w:bCs/>
                <w:sz w:val="20"/>
                <w:szCs w:val="20"/>
                <w:lang w:val="en-AU" w:eastAsia="en-AU"/>
              </w:rPr>
              <w:t>Assessment</w:t>
            </w:r>
          </w:p>
        </w:tc>
        <w:tc>
          <w:tcPr>
            <w:tcW w:w="1843" w:type="dxa"/>
            <w:shd w:val="clear" w:color="auto" w:fill="BFBFBF" w:themeFill="background1" w:themeFillShade="BF"/>
          </w:tcPr>
          <w:p w14:paraId="1C5277BC" w14:textId="77777777" w:rsidR="008B110E" w:rsidRPr="00A018A0" w:rsidRDefault="008B110E" w:rsidP="008C5BB1">
            <w:pPr>
              <w:tabs>
                <w:tab w:val="left" w:pos="7263"/>
              </w:tabs>
              <w:spacing w:before="20" w:after="20"/>
              <w:ind w:right="-108"/>
              <w:rPr>
                <w:rFonts w:cs="Arial"/>
                <w:b/>
                <w:bCs/>
                <w:sz w:val="20"/>
                <w:szCs w:val="20"/>
                <w:lang w:val="en-AU" w:eastAsia="en-AU"/>
              </w:rPr>
            </w:pPr>
            <w:r w:rsidRPr="00A018A0">
              <w:rPr>
                <w:rFonts w:cs="Arial"/>
                <w:b/>
                <w:bCs/>
                <w:sz w:val="20"/>
                <w:szCs w:val="20"/>
                <w:lang w:val="en-AU" w:eastAsia="en-AU"/>
              </w:rPr>
              <w:t>Compliance</w:t>
            </w:r>
            <w:r w:rsidR="00565A1C" w:rsidRPr="00A018A0">
              <w:rPr>
                <w:rFonts w:cs="Arial"/>
                <w:b/>
                <w:bCs/>
                <w:sz w:val="20"/>
                <w:szCs w:val="20"/>
                <w:lang w:val="en-AU" w:eastAsia="en-AU"/>
              </w:rPr>
              <w:t>?</w:t>
            </w:r>
          </w:p>
        </w:tc>
      </w:tr>
      <w:tr w:rsidR="002E4496" w:rsidRPr="00A018A0" w14:paraId="41754943" w14:textId="77777777" w:rsidTr="00B8190E">
        <w:trPr>
          <w:trHeight w:val="214"/>
        </w:trPr>
        <w:tc>
          <w:tcPr>
            <w:tcW w:w="3970" w:type="dxa"/>
            <w:shd w:val="clear" w:color="auto" w:fill="auto"/>
          </w:tcPr>
          <w:p w14:paraId="41F59FCB" w14:textId="77777777" w:rsidR="002E4496" w:rsidRPr="00A018A0" w:rsidRDefault="00CD2400" w:rsidP="009A7DC0">
            <w:pPr>
              <w:spacing w:before="20" w:after="20"/>
              <w:jc w:val="both"/>
              <w:rPr>
                <w:rFonts w:cs="Arial"/>
                <w:b/>
                <w:sz w:val="20"/>
                <w:szCs w:val="20"/>
                <w:lang w:val="en-AU" w:eastAsia="en-AU"/>
              </w:rPr>
            </w:pPr>
            <w:r w:rsidRPr="00A018A0">
              <w:rPr>
                <w:rFonts w:cs="Arial"/>
                <w:b/>
                <w:sz w:val="20"/>
                <w:szCs w:val="20"/>
                <w:lang w:val="en-AU" w:eastAsia="en-AU"/>
              </w:rPr>
              <w:t xml:space="preserve">Appendix 1, </w:t>
            </w:r>
            <w:r w:rsidR="002E4496" w:rsidRPr="00A018A0">
              <w:rPr>
                <w:rFonts w:cs="Arial"/>
                <w:b/>
                <w:sz w:val="20"/>
                <w:szCs w:val="20"/>
                <w:lang w:val="en-AU" w:eastAsia="en-AU"/>
              </w:rPr>
              <w:t>2.3 Zone objectives and land use table</w:t>
            </w:r>
          </w:p>
          <w:p w14:paraId="07000092" w14:textId="77777777" w:rsidR="002E4496" w:rsidRPr="00A018A0" w:rsidRDefault="002E4496" w:rsidP="009A7DC0">
            <w:pPr>
              <w:spacing w:before="20" w:after="20"/>
              <w:jc w:val="both"/>
              <w:rPr>
                <w:rFonts w:cs="Arial"/>
                <w:sz w:val="20"/>
                <w:szCs w:val="20"/>
                <w:lang w:val="en-AU" w:eastAsia="en-AU"/>
              </w:rPr>
            </w:pPr>
          </w:p>
          <w:p w14:paraId="2622A201" w14:textId="77777777" w:rsidR="008E52C6" w:rsidRPr="00A018A0" w:rsidRDefault="008E52C6" w:rsidP="009A7DC0">
            <w:pPr>
              <w:spacing w:before="20" w:after="20"/>
              <w:jc w:val="both"/>
              <w:rPr>
                <w:rFonts w:cs="Arial"/>
                <w:sz w:val="20"/>
                <w:szCs w:val="20"/>
                <w:lang w:val="en-AU" w:eastAsia="en-AU"/>
              </w:rPr>
            </w:pPr>
            <w:r w:rsidRPr="00A018A0">
              <w:rPr>
                <w:rFonts w:cs="Arial"/>
                <w:sz w:val="20"/>
                <w:szCs w:val="20"/>
                <w:lang w:val="en-AU" w:eastAsia="en-AU"/>
              </w:rPr>
              <w:t>The land use table for e</w:t>
            </w:r>
            <w:r w:rsidR="00CD2400" w:rsidRPr="00A018A0">
              <w:rPr>
                <w:rFonts w:cs="Arial"/>
                <w:sz w:val="20"/>
                <w:szCs w:val="20"/>
                <w:lang w:val="en-AU" w:eastAsia="en-AU"/>
              </w:rPr>
              <w:t>ach zone sets out what development</w:t>
            </w:r>
            <w:r w:rsidRPr="00A018A0">
              <w:rPr>
                <w:rFonts w:cs="Arial"/>
                <w:sz w:val="20"/>
                <w:szCs w:val="20"/>
                <w:lang w:val="en-AU" w:eastAsia="en-AU"/>
              </w:rPr>
              <w:t xml:space="preserve"> is permitted without consent, permitted with consent and prohibited.</w:t>
            </w:r>
          </w:p>
          <w:p w14:paraId="19ADC659" w14:textId="77777777" w:rsidR="008E52C6" w:rsidRPr="00A018A0" w:rsidRDefault="008E52C6" w:rsidP="009A7DC0">
            <w:pPr>
              <w:spacing w:before="20" w:after="20"/>
              <w:jc w:val="both"/>
              <w:rPr>
                <w:rFonts w:cs="Arial"/>
                <w:sz w:val="20"/>
                <w:szCs w:val="20"/>
                <w:lang w:val="en-AU" w:eastAsia="en-AU"/>
              </w:rPr>
            </w:pPr>
          </w:p>
          <w:p w14:paraId="6CEC77FB" w14:textId="77777777" w:rsidR="00512B8C" w:rsidRDefault="002E4496" w:rsidP="009A7DC0">
            <w:pPr>
              <w:spacing w:before="20" w:after="20"/>
              <w:jc w:val="both"/>
              <w:rPr>
                <w:rFonts w:cs="Arial"/>
                <w:sz w:val="20"/>
                <w:szCs w:val="20"/>
                <w:lang w:val="en-AU" w:eastAsia="en-AU"/>
              </w:rPr>
            </w:pPr>
            <w:r w:rsidRPr="00A018A0">
              <w:rPr>
                <w:rFonts w:cs="Arial"/>
                <w:sz w:val="20"/>
                <w:szCs w:val="20"/>
                <w:lang w:val="en-AU" w:eastAsia="en-AU"/>
              </w:rPr>
              <w:t>The consent authority must have regard to the objectives for development in a zone when determining a development application in respect of land within a zone.</w:t>
            </w:r>
          </w:p>
          <w:p w14:paraId="60A7B2DA" w14:textId="07118B9C" w:rsidR="00F40B1B" w:rsidRDefault="00F40B1B" w:rsidP="009A7DC0">
            <w:pPr>
              <w:spacing w:before="20" w:after="20"/>
              <w:jc w:val="both"/>
              <w:rPr>
                <w:rFonts w:cs="Arial"/>
                <w:sz w:val="20"/>
                <w:szCs w:val="20"/>
                <w:lang w:val="en-AU" w:eastAsia="en-AU"/>
              </w:rPr>
            </w:pPr>
          </w:p>
          <w:p w14:paraId="47259FF6" w14:textId="72A2237A" w:rsidR="00C01687" w:rsidRDefault="00C01687" w:rsidP="009A7DC0">
            <w:pPr>
              <w:spacing w:before="20" w:after="20"/>
              <w:jc w:val="both"/>
              <w:rPr>
                <w:rFonts w:cs="Arial"/>
                <w:sz w:val="20"/>
                <w:szCs w:val="20"/>
                <w:lang w:val="en-AU" w:eastAsia="en-AU"/>
              </w:rPr>
            </w:pPr>
            <w:r>
              <w:rPr>
                <w:rFonts w:cs="Arial"/>
                <w:sz w:val="20"/>
                <w:szCs w:val="20"/>
                <w:lang w:val="en-AU" w:eastAsia="en-AU"/>
              </w:rPr>
              <w:t xml:space="preserve">The objectives of the R1 General Residential zone are: </w:t>
            </w:r>
          </w:p>
          <w:p w14:paraId="2A270D4A" w14:textId="77777777" w:rsidR="00C01687"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To provide for the housing needs of the community.</w:t>
            </w:r>
          </w:p>
          <w:p w14:paraId="3735AB39" w14:textId="7A1E6BE2" w:rsidR="00C01687"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To provide for a variety of housing types and densities.</w:t>
            </w:r>
          </w:p>
          <w:p w14:paraId="20F66D4B" w14:textId="72F4021C" w:rsidR="00C01687"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To enable other land uses that provide facilities or services to meet the day to day needs of residents.</w:t>
            </w:r>
          </w:p>
          <w:p w14:paraId="28CBA9F1" w14:textId="1B11A57C" w:rsidR="00C01687"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 xml:space="preserve">To support the </w:t>
            </w:r>
            <w:r w:rsidR="009A7DC0" w:rsidRPr="00C01687">
              <w:rPr>
                <w:rFonts w:cs="Arial"/>
                <w:sz w:val="20"/>
                <w:szCs w:val="20"/>
                <w:lang w:val="en-AU" w:eastAsia="en-AU"/>
              </w:rPr>
              <w:t>wellbeing</w:t>
            </w:r>
            <w:bookmarkStart w:id="0" w:name="_GoBack"/>
            <w:bookmarkEnd w:id="0"/>
            <w:r w:rsidRPr="00C01687">
              <w:rPr>
                <w:rFonts w:cs="Arial"/>
                <w:sz w:val="20"/>
                <w:szCs w:val="20"/>
                <w:lang w:val="en-AU" w:eastAsia="en-AU"/>
              </w:rPr>
              <w:t xml:space="preserve"> of the community, including educational, recreational, community, religious and other activities and, where appropriate, neighbourhood shops if there will be no adverse effect on the amenity of proposed or existing nearby residential development.</w:t>
            </w:r>
          </w:p>
          <w:p w14:paraId="28435845" w14:textId="306217ED" w:rsidR="00C01687"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To allow for small scale kiosks, function centres, restaurants and markets that support the primary function and use of recreation areas, public open space and recreation facilities located within residential areas.</w:t>
            </w:r>
          </w:p>
          <w:p w14:paraId="3A9E211D" w14:textId="1702A2F1" w:rsidR="00C01687"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To allow for small scale intensity tourist and visitor accommodation that does not interfere with residential amenity.</w:t>
            </w:r>
          </w:p>
          <w:p w14:paraId="71926648" w14:textId="534425A7" w:rsidR="00F40B1B" w:rsidRPr="00C01687" w:rsidRDefault="00C01687" w:rsidP="009A7DC0">
            <w:pPr>
              <w:pStyle w:val="ListParagraph"/>
              <w:numPr>
                <w:ilvl w:val="0"/>
                <w:numId w:val="1"/>
              </w:numPr>
              <w:spacing w:before="20" w:after="20"/>
              <w:ind w:left="178" w:hanging="178"/>
              <w:jc w:val="both"/>
              <w:rPr>
                <w:rFonts w:cs="Arial"/>
                <w:sz w:val="20"/>
                <w:szCs w:val="20"/>
                <w:lang w:val="en-AU" w:eastAsia="en-AU"/>
              </w:rPr>
            </w:pPr>
            <w:r w:rsidRPr="00C01687">
              <w:rPr>
                <w:rFonts w:cs="Arial"/>
                <w:sz w:val="20"/>
                <w:szCs w:val="20"/>
                <w:lang w:val="en-AU" w:eastAsia="en-AU"/>
              </w:rPr>
              <w:t>To provide for a variety of recreational uses within open space areas.</w:t>
            </w:r>
          </w:p>
        </w:tc>
        <w:tc>
          <w:tcPr>
            <w:tcW w:w="3969" w:type="dxa"/>
          </w:tcPr>
          <w:p w14:paraId="186ADAE9" w14:textId="70222C40" w:rsidR="002E4496" w:rsidRPr="00A018A0" w:rsidRDefault="00077D9B" w:rsidP="009A7DC0">
            <w:pPr>
              <w:spacing w:before="20" w:after="20"/>
              <w:jc w:val="both"/>
              <w:rPr>
                <w:rFonts w:cs="Arial"/>
                <w:sz w:val="20"/>
                <w:szCs w:val="20"/>
                <w:lang w:val="en-AU" w:eastAsia="en-AU"/>
              </w:rPr>
            </w:pPr>
            <w:r w:rsidRPr="00A018A0">
              <w:rPr>
                <w:rFonts w:cs="Arial"/>
                <w:sz w:val="20"/>
                <w:szCs w:val="20"/>
                <w:lang w:val="en-AU" w:eastAsia="en-AU"/>
              </w:rPr>
              <w:t xml:space="preserve">Educational establishments are permitted with consent in the R1 General Residential zone. The proposed development is consistent with the relevant objectives of the zone in that it will support the wellbeing of the community through the provision of educational facilities and is unlikely to have any additional adverse impacts on the amenity of nearby residential development. </w:t>
            </w:r>
          </w:p>
        </w:tc>
        <w:tc>
          <w:tcPr>
            <w:tcW w:w="1843" w:type="dxa"/>
          </w:tcPr>
          <w:p w14:paraId="565CCEC5" w14:textId="7A80726A" w:rsidR="002E4496" w:rsidRPr="00A018A0" w:rsidRDefault="002E4496" w:rsidP="009A7DC0">
            <w:pPr>
              <w:spacing w:before="20" w:after="20"/>
              <w:jc w:val="both"/>
              <w:rPr>
                <w:rFonts w:cs="Arial"/>
                <w:bCs/>
                <w:sz w:val="20"/>
                <w:szCs w:val="20"/>
                <w:lang w:val="en-AU" w:eastAsia="en-AU"/>
              </w:rPr>
            </w:pPr>
            <w:r w:rsidRPr="00A018A0">
              <w:rPr>
                <w:rFonts w:cs="Arial"/>
                <w:bCs/>
                <w:sz w:val="20"/>
                <w:szCs w:val="20"/>
                <w:lang w:val="en-AU" w:eastAsia="en-AU"/>
              </w:rPr>
              <w:t>Yes</w:t>
            </w:r>
            <w:r w:rsidR="00D22647" w:rsidRPr="00A018A0">
              <w:rPr>
                <w:rFonts w:cs="Arial"/>
                <w:bCs/>
                <w:sz w:val="20"/>
                <w:szCs w:val="20"/>
                <w:lang w:val="en-AU" w:eastAsia="en-AU"/>
              </w:rPr>
              <w:t>.</w:t>
            </w:r>
          </w:p>
        </w:tc>
      </w:tr>
      <w:tr w:rsidR="000229E9" w:rsidRPr="00A018A0" w14:paraId="532CA855" w14:textId="77777777" w:rsidTr="00B8190E">
        <w:trPr>
          <w:trHeight w:val="214"/>
        </w:trPr>
        <w:tc>
          <w:tcPr>
            <w:tcW w:w="3970" w:type="dxa"/>
            <w:shd w:val="clear" w:color="auto" w:fill="auto"/>
          </w:tcPr>
          <w:p w14:paraId="4B88662E" w14:textId="77777777" w:rsidR="000229E9" w:rsidRPr="00A018A0" w:rsidRDefault="00224784" w:rsidP="009A7DC0">
            <w:pPr>
              <w:spacing w:before="20" w:after="20"/>
              <w:jc w:val="both"/>
              <w:rPr>
                <w:rFonts w:cs="Arial"/>
                <w:b/>
                <w:sz w:val="20"/>
                <w:szCs w:val="20"/>
                <w:lang w:val="en-AU" w:eastAsia="en-AU"/>
              </w:rPr>
            </w:pPr>
            <w:r w:rsidRPr="00A018A0">
              <w:rPr>
                <w:rFonts w:cs="Arial"/>
                <w:b/>
                <w:sz w:val="20"/>
                <w:szCs w:val="20"/>
                <w:lang w:val="en-AU" w:eastAsia="en-AU"/>
              </w:rPr>
              <w:t>Appendix 1, 2.6A</w:t>
            </w:r>
            <w:r w:rsidR="000229E9" w:rsidRPr="00A018A0">
              <w:rPr>
                <w:rFonts w:cs="Arial"/>
                <w:b/>
                <w:sz w:val="20"/>
                <w:szCs w:val="20"/>
                <w:lang w:val="en-AU" w:eastAsia="en-AU"/>
              </w:rPr>
              <w:t xml:space="preserve"> Demolition</w:t>
            </w:r>
          </w:p>
          <w:p w14:paraId="4AC4E08E" w14:textId="77777777" w:rsidR="000229E9" w:rsidRPr="00A018A0" w:rsidRDefault="000229E9" w:rsidP="009A7DC0">
            <w:pPr>
              <w:spacing w:before="20" w:after="20"/>
              <w:jc w:val="both"/>
              <w:rPr>
                <w:rFonts w:cs="Arial"/>
                <w:sz w:val="20"/>
                <w:szCs w:val="20"/>
                <w:lang w:val="en-AU" w:eastAsia="en-AU"/>
              </w:rPr>
            </w:pPr>
          </w:p>
          <w:p w14:paraId="7DE78C5C" w14:textId="77777777" w:rsidR="000229E9" w:rsidRPr="00A018A0" w:rsidRDefault="000229E9" w:rsidP="009A7DC0">
            <w:pPr>
              <w:spacing w:before="20" w:after="20"/>
              <w:jc w:val="both"/>
              <w:rPr>
                <w:rFonts w:cs="Arial"/>
                <w:sz w:val="20"/>
                <w:szCs w:val="20"/>
                <w:lang w:val="en-AU" w:eastAsia="en-AU"/>
              </w:rPr>
            </w:pPr>
            <w:r w:rsidRPr="00A018A0">
              <w:rPr>
                <w:rFonts w:cs="Arial"/>
                <w:sz w:val="20"/>
                <w:szCs w:val="20"/>
                <w:lang w:val="en-AU" w:eastAsia="en-AU"/>
              </w:rPr>
              <w:t>Development consent is required to demolish a building or work (unless the demolition is exempt or complying development under another environmental planning instrument).</w:t>
            </w:r>
          </w:p>
        </w:tc>
        <w:tc>
          <w:tcPr>
            <w:tcW w:w="3969" w:type="dxa"/>
          </w:tcPr>
          <w:p w14:paraId="3700B164" w14:textId="7C3C5B0C" w:rsidR="000229E9" w:rsidRPr="00A018A0" w:rsidRDefault="00077D9B" w:rsidP="009A7DC0">
            <w:pPr>
              <w:spacing w:before="20" w:after="20"/>
              <w:jc w:val="both"/>
              <w:rPr>
                <w:rFonts w:cs="Arial"/>
                <w:sz w:val="20"/>
                <w:szCs w:val="20"/>
                <w:lang w:val="en-AU" w:eastAsia="en-AU"/>
              </w:rPr>
            </w:pPr>
            <w:r w:rsidRPr="00A018A0">
              <w:rPr>
                <w:rFonts w:cs="Arial"/>
                <w:sz w:val="20"/>
                <w:szCs w:val="20"/>
                <w:lang w:val="en-AU" w:eastAsia="en-AU"/>
              </w:rPr>
              <w:t>Demolition of a number of existing buildings on site is proposed. Assessment of this is contained within the report and associated attachments.</w:t>
            </w:r>
          </w:p>
        </w:tc>
        <w:tc>
          <w:tcPr>
            <w:tcW w:w="1843" w:type="dxa"/>
          </w:tcPr>
          <w:p w14:paraId="30A2087E" w14:textId="3063AA13" w:rsidR="000229E9" w:rsidRPr="00A018A0" w:rsidRDefault="00D22647" w:rsidP="009A7DC0">
            <w:pPr>
              <w:spacing w:before="20" w:after="20"/>
              <w:jc w:val="both"/>
              <w:rPr>
                <w:rFonts w:cs="Arial"/>
                <w:bCs/>
                <w:sz w:val="20"/>
                <w:szCs w:val="20"/>
                <w:lang w:val="en-AU" w:eastAsia="en-AU"/>
              </w:rPr>
            </w:pPr>
            <w:r w:rsidRPr="00A018A0">
              <w:rPr>
                <w:rFonts w:cs="Arial"/>
                <w:bCs/>
                <w:sz w:val="20"/>
                <w:szCs w:val="20"/>
                <w:lang w:val="en-AU" w:eastAsia="en-AU"/>
              </w:rPr>
              <w:t>Yes.</w:t>
            </w:r>
          </w:p>
        </w:tc>
      </w:tr>
      <w:tr w:rsidR="000229E9" w:rsidRPr="00A018A0" w14:paraId="7D429630" w14:textId="77777777" w:rsidTr="00B8190E">
        <w:trPr>
          <w:trHeight w:val="214"/>
        </w:trPr>
        <w:tc>
          <w:tcPr>
            <w:tcW w:w="3970" w:type="dxa"/>
            <w:shd w:val="clear" w:color="auto" w:fill="auto"/>
          </w:tcPr>
          <w:p w14:paraId="7342A78F" w14:textId="77777777" w:rsidR="000229E9" w:rsidRPr="00A018A0" w:rsidRDefault="00624E71" w:rsidP="009A7DC0">
            <w:pPr>
              <w:spacing w:before="20" w:after="20"/>
              <w:jc w:val="both"/>
              <w:rPr>
                <w:rFonts w:cs="Arial"/>
                <w:b/>
                <w:sz w:val="20"/>
                <w:szCs w:val="20"/>
                <w:lang w:val="en-AU" w:eastAsia="en-AU"/>
              </w:rPr>
            </w:pPr>
            <w:r w:rsidRPr="00A018A0">
              <w:rPr>
                <w:rFonts w:cs="Arial"/>
                <w:b/>
                <w:sz w:val="20"/>
                <w:szCs w:val="20"/>
                <w:lang w:val="en-AU" w:eastAsia="en-AU"/>
              </w:rPr>
              <w:t xml:space="preserve">Appendix 1, </w:t>
            </w:r>
            <w:r w:rsidR="000229E9" w:rsidRPr="00A018A0">
              <w:rPr>
                <w:rFonts w:cs="Arial"/>
                <w:b/>
                <w:sz w:val="20"/>
                <w:szCs w:val="20"/>
                <w:lang w:val="en-AU" w:eastAsia="en-AU"/>
              </w:rPr>
              <w:t>4.3 Height of buildings</w:t>
            </w:r>
          </w:p>
          <w:p w14:paraId="5F22FB41" w14:textId="77777777" w:rsidR="000229E9" w:rsidRPr="00A018A0" w:rsidRDefault="000229E9" w:rsidP="009A7DC0">
            <w:pPr>
              <w:spacing w:before="20" w:after="20"/>
              <w:jc w:val="both"/>
              <w:rPr>
                <w:rFonts w:cs="Arial"/>
                <w:sz w:val="20"/>
                <w:szCs w:val="20"/>
                <w:lang w:val="en-AU" w:eastAsia="en-AU"/>
              </w:rPr>
            </w:pPr>
          </w:p>
          <w:p w14:paraId="5C0DD270" w14:textId="77777777" w:rsidR="000229E9" w:rsidRPr="00A018A0" w:rsidRDefault="000229E9" w:rsidP="009A7DC0">
            <w:pPr>
              <w:spacing w:before="20" w:after="20"/>
              <w:jc w:val="both"/>
              <w:rPr>
                <w:rFonts w:cs="Arial"/>
                <w:sz w:val="20"/>
                <w:szCs w:val="20"/>
                <w:lang w:val="en-AU" w:eastAsia="en-AU"/>
              </w:rPr>
            </w:pPr>
            <w:r w:rsidRPr="00A018A0">
              <w:rPr>
                <w:rFonts w:cs="Arial"/>
                <w:sz w:val="20"/>
                <w:szCs w:val="20"/>
                <w:lang w:val="en-AU" w:eastAsia="en-AU"/>
              </w:rPr>
              <w:t>Maximum buildings heights must not exceed the maximum building height shown on the Height of Buildings Map.</w:t>
            </w:r>
          </w:p>
          <w:p w14:paraId="194F0D1F" w14:textId="77777777" w:rsidR="000229E9" w:rsidRPr="00A018A0" w:rsidRDefault="000229E9" w:rsidP="009A7DC0">
            <w:pPr>
              <w:spacing w:before="20" w:after="20"/>
              <w:jc w:val="both"/>
              <w:rPr>
                <w:rFonts w:cs="Arial"/>
                <w:sz w:val="20"/>
                <w:szCs w:val="20"/>
                <w:lang w:val="en-AU" w:eastAsia="en-AU"/>
              </w:rPr>
            </w:pPr>
          </w:p>
          <w:p w14:paraId="413A29C8" w14:textId="31370E8E" w:rsidR="00DC6AED" w:rsidRPr="00A018A0" w:rsidRDefault="000229E9" w:rsidP="009A7DC0">
            <w:pPr>
              <w:spacing w:before="20" w:after="20"/>
              <w:jc w:val="both"/>
              <w:rPr>
                <w:rFonts w:cs="Arial"/>
                <w:sz w:val="20"/>
                <w:szCs w:val="20"/>
                <w:lang w:val="en-AU" w:eastAsia="en-AU"/>
              </w:rPr>
            </w:pPr>
            <w:r w:rsidRPr="00A018A0">
              <w:rPr>
                <w:rFonts w:cs="Arial"/>
                <w:sz w:val="20"/>
                <w:szCs w:val="20"/>
                <w:lang w:val="en-AU" w:eastAsia="en-AU"/>
              </w:rPr>
              <w:t xml:space="preserve">The maximum building height for this site </w:t>
            </w:r>
            <w:r w:rsidRPr="00A018A0">
              <w:rPr>
                <w:rFonts w:cs="Arial"/>
                <w:sz w:val="20"/>
                <w:szCs w:val="20"/>
                <w:lang w:val="en-AU" w:eastAsia="en-AU"/>
              </w:rPr>
              <w:lastRenderedPageBreak/>
              <w:t xml:space="preserve">is </w:t>
            </w:r>
            <w:r w:rsidR="00077D9B" w:rsidRPr="00A018A0">
              <w:rPr>
                <w:rFonts w:cs="Arial"/>
                <w:sz w:val="20"/>
                <w:szCs w:val="20"/>
                <w:lang w:val="en-AU" w:eastAsia="en-AU"/>
              </w:rPr>
              <w:t>9.5</w:t>
            </w:r>
            <w:r w:rsidRPr="00A018A0">
              <w:rPr>
                <w:rFonts w:cs="Arial"/>
                <w:sz w:val="20"/>
                <w:szCs w:val="20"/>
                <w:lang w:val="en-AU" w:eastAsia="en-AU"/>
              </w:rPr>
              <w:t>m.</w:t>
            </w:r>
          </w:p>
        </w:tc>
        <w:tc>
          <w:tcPr>
            <w:tcW w:w="3969" w:type="dxa"/>
          </w:tcPr>
          <w:p w14:paraId="6F61C44F" w14:textId="6849EF7E" w:rsidR="000229E9" w:rsidRPr="00A018A0" w:rsidRDefault="004B040F" w:rsidP="009A7DC0">
            <w:pPr>
              <w:spacing w:before="20" w:after="20"/>
              <w:jc w:val="both"/>
              <w:rPr>
                <w:rFonts w:cs="Arial"/>
                <w:sz w:val="20"/>
                <w:szCs w:val="20"/>
                <w:lang w:val="en-AU" w:eastAsia="en-AU"/>
              </w:rPr>
            </w:pPr>
            <w:r w:rsidRPr="00A018A0">
              <w:rPr>
                <w:rFonts w:cs="Arial"/>
                <w:sz w:val="20"/>
                <w:szCs w:val="20"/>
                <w:lang w:val="en-AU" w:eastAsia="en-AU"/>
              </w:rPr>
              <w:lastRenderedPageBreak/>
              <w:t>The maximum height is 9.4 metres.</w:t>
            </w:r>
            <w:r w:rsidR="00A018A0" w:rsidRPr="00A018A0">
              <w:rPr>
                <w:rFonts w:cs="Arial"/>
                <w:sz w:val="20"/>
                <w:szCs w:val="20"/>
                <w:lang w:val="en-AU" w:eastAsia="en-AU"/>
              </w:rPr>
              <w:t xml:space="preserve"> A condition has been recommended requiring a survey report be prepared confirming the building height is consistent with the plans prior to the development proceeding beyond frame stage.</w:t>
            </w:r>
          </w:p>
        </w:tc>
        <w:tc>
          <w:tcPr>
            <w:tcW w:w="1843" w:type="dxa"/>
          </w:tcPr>
          <w:p w14:paraId="14B4F5B3" w14:textId="501BA984" w:rsidR="000229E9" w:rsidRPr="00A018A0" w:rsidRDefault="00D22647" w:rsidP="009A7DC0">
            <w:pPr>
              <w:spacing w:before="20" w:after="20"/>
              <w:jc w:val="both"/>
              <w:rPr>
                <w:rFonts w:cs="Arial"/>
                <w:bCs/>
                <w:sz w:val="20"/>
                <w:szCs w:val="20"/>
                <w:lang w:val="en-AU" w:eastAsia="en-AU"/>
              </w:rPr>
            </w:pPr>
            <w:r w:rsidRPr="00A018A0">
              <w:rPr>
                <w:rFonts w:cs="Arial"/>
                <w:bCs/>
                <w:sz w:val="20"/>
                <w:szCs w:val="20"/>
                <w:lang w:val="en-AU" w:eastAsia="en-AU"/>
              </w:rPr>
              <w:t>Yes.</w:t>
            </w:r>
          </w:p>
        </w:tc>
      </w:tr>
      <w:tr w:rsidR="000229E9" w:rsidRPr="00A018A0" w14:paraId="73E1310E" w14:textId="77777777" w:rsidTr="00B8190E">
        <w:trPr>
          <w:trHeight w:val="214"/>
        </w:trPr>
        <w:tc>
          <w:tcPr>
            <w:tcW w:w="3970" w:type="dxa"/>
            <w:shd w:val="clear" w:color="auto" w:fill="auto"/>
          </w:tcPr>
          <w:p w14:paraId="7E88982F" w14:textId="77777777" w:rsidR="000229E9" w:rsidRPr="00A018A0" w:rsidRDefault="00624E71" w:rsidP="009A7DC0">
            <w:pPr>
              <w:spacing w:before="20" w:after="20"/>
              <w:jc w:val="both"/>
              <w:rPr>
                <w:rFonts w:cs="Arial"/>
                <w:b/>
                <w:sz w:val="20"/>
                <w:szCs w:val="20"/>
                <w:lang w:val="en-AU" w:eastAsia="en-AU"/>
              </w:rPr>
            </w:pPr>
            <w:r w:rsidRPr="00A018A0">
              <w:rPr>
                <w:rFonts w:cs="Arial"/>
                <w:b/>
                <w:sz w:val="20"/>
                <w:szCs w:val="20"/>
                <w:lang w:val="en-AU" w:eastAsia="en-AU"/>
              </w:rPr>
              <w:t xml:space="preserve">Appendix 1, </w:t>
            </w:r>
            <w:r w:rsidR="00115AAC" w:rsidRPr="00A018A0">
              <w:rPr>
                <w:rFonts w:cs="Arial"/>
                <w:b/>
                <w:sz w:val="20"/>
                <w:szCs w:val="20"/>
                <w:lang w:val="en-AU" w:eastAsia="en-AU"/>
              </w:rPr>
              <w:t>5.9</w:t>
            </w:r>
            <w:r w:rsidR="000229E9" w:rsidRPr="00A018A0">
              <w:rPr>
                <w:rFonts w:cs="Arial"/>
                <w:b/>
                <w:sz w:val="20"/>
                <w:szCs w:val="20"/>
                <w:lang w:val="en-AU" w:eastAsia="en-AU"/>
              </w:rPr>
              <w:t xml:space="preserve"> </w:t>
            </w:r>
            <w:r w:rsidR="00115AAC" w:rsidRPr="00A018A0">
              <w:rPr>
                <w:rFonts w:cs="Arial"/>
                <w:b/>
                <w:sz w:val="20"/>
                <w:szCs w:val="20"/>
                <w:lang w:val="en-AU" w:eastAsia="en-AU"/>
              </w:rPr>
              <w:t>Preservation of trees or vegetation</w:t>
            </w:r>
          </w:p>
          <w:p w14:paraId="594340E1" w14:textId="77777777" w:rsidR="000229E9" w:rsidRPr="00A018A0" w:rsidRDefault="000229E9" w:rsidP="009A7DC0">
            <w:pPr>
              <w:shd w:val="clear" w:color="auto" w:fill="FFFFFF"/>
              <w:spacing w:before="20" w:after="20"/>
              <w:jc w:val="both"/>
              <w:rPr>
                <w:rFonts w:cs="Arial"/>
                <w:color w:val="000000"/>
                <w:sz w:val="20"/>
                <w:szCs w:val="20"/>
                <w:lang w:val="en-AU" w:eastAsia="en-AU"/>
              </w:rPr>
            </w:pPr>
          </w:p>
          <w:p w14:paraId="041CD0AF" w14:textId="77777777" w:rsidR="000229E9" w:rsidRPr="00A018A0" w:rsidRDefault="009E4E30" w:rsidP="009A7DC0">
            <w:pPr>
              <w:shd w:val="clear" w:color="auto" w:fill="FFFFFF"/>
              <w:spacing w:before="20" w:after="20"/>
              <w:jc w:val="both"/>
              <w:rPr>
                <w:rFonts w:cs="Arial"/>
                <w:color w:val="000000"/>
                <w:sz w:val="20"/>
                <w:szCs w:val="20"/>
                <w:lang w:val="en-AU" w:eastAsia="en-AU"/>
              </w:rPr>
            </w:pPr>
            <w:r w:rsidRPr="00A018A0">
              <w:rPr>
                <w:rFonts w:cs="Arial"/>
                <w:sz w:val="20"/>
                <w:szCs w:val="20"/>
                <w:lang w:val="en-AU" w:eastAsia="en-AU"/>
              </w:rPr>
              <w:t>Development consent is required for tree removal and t</w:t>
            </w:r>
            <w:r w:rsidR="0042307B" w:rsidRPr="00A018A0">
              <w:rPr>
                <w:rFonts w:cs="Arial"/>
                <w:sz w:val="20"/>
                <w:szCs w:val="20"/>
                <w:lang w:val="en-AU" w:eastAsia="en-AU"/>
              </w:rPr>
              <w:t>r</w:t>
            </w:r>
            <w:r w:rsidRPr="00A018A0">
              <w:rPr>
                <w:rFonts w:cs="Arial"/>
                <w:sz w:val="20"/>
                <w:szCs w:val="20"/>
                <w:lang w:val="en-AU" w:eastAsia="en-AU"/>
              </w:rPr>
              <w:t>ee related works.</w:t>
            </w:r>
          </w:p>
        </w:tc>
        <w:tc>
          <w:tcPr>
            <w:tcW w:w="3969" w:type="dxa"/>
          </w:tcPr>
          <w:p w14:paraId="607E6DFD" w14:textId="2DA84F4E" w:rsidR="000229E9" w:rsidRPr="00A018A0" w:rsidRDefault="00FA0CDE" w:rsidP="009A7DC0">
            <w:pPr>
              <w:spacing w:before="20" w:after="20"/>
              <w:jc w:val="both"/>
              <w:rPr>
                <w:rFonts w:cs="Arial"/>
                <w:sz w:val="20"/>
                <w:szCs w:val="20"/>
                <w:lang w:val="en-AU" w:eastAsia="en-AU"/>
              </w:rPr>
            </w:pPr>
            <w:r w:rsidRPr="00A018A0">
              <w:rPr>
                <w:rFonts w:cs="Arial"/>
                <w:sz w:val="20"/>
                <w:szCs w:val="20"/>
                <w:lang w:val="en-AU" w:eastAsia="en-AU"/>
              </w:rPr>
              <w:t>The application proposes to remove 10 trees and 1 shrub to accommodate the proposed development. An assessment of the proposed tree removal and ecological impacts was included with the application. Council officers have reviewed these reports and are satisfied with the findings subject to recommended conditions including requirements for replacement planting.</w:t>
            </w:r>
          </w:p>
        </w:tc>
        <w:tc>
          <w:tcPr>
            <w:tcW w:w="1843" w:type="dxa"/>
          </w:tcPr>
          <w:p w14:paraId="6D4E6763" w14:textId="50431CE5" w:rsidR="000229E9" w:rsidRPr="00A018A0" w:rsidRDefault="00D22647" w:rsidP="009A7DC0">
            <w:pPr>
              <w:spacing w:before="20" w:after="20"/>
              <w:jc w:val="both"/>
              <w:rPr>
                <w:rFonts w:cs="Arial"/>
                <w:bCs/>
                <w:sz w:val="20"/>
                <w:szCs w:val="20"/>
                <w:lang w:val="en-AU" w:eastAsia="en-AU"/>
              </w:rPr>
            </w:pPr>
            <w:r w:rsidRPr="00A018A0">
              <w:rPr>
                <w:rFonts w:cs="Arial"/>
                <w:bCs/>
                <w:sz w:val="20"/>
                <w:szCs w:val="20"/>
                <w:lang w:val="en-AU" w:eastAsia="en-AU"/>
              </w:rPr>
              <w:t>Yes.</w:t>
            </w:r>
          </w:p>
        </w:tc>
      </w:tr>
      <w:tr w:rsidR="000229E9" w:rsidRPr="00A018A0" w14:paraId="25DC9F8A" w14:textId="77777777" w:rsidTr="00B8190E">
        <w:trPr>
          <w:trHeight w:val="214"/>
        </w:trPr>
        <w:tc>
          <w:tcPr>
            <w:tcW w:w="3970" w:type="dxa"/>
            <w:shd w:val="clear" w:color="auto" w:fill="auto"/>
          </w:tcPr>
          <w:p w14:paraId="2123DC1A" w14:textId="77777777" w:rsidR="000229E9" w:rsidRPr="00A018A0" w:rsidRDefault="00624E71" w:rsidP="009A7DC0">
            <w:pPr>
              <w:spacing w:before="20" w:after="20"/>
              <w:jc w:val="both"/>
              <w:rPr>
                <w:rFonts w:cs="Arial"/>
                <w:b/>
                <w:sz w:val="20"/>
                <w:szCs w:val="20"/>
                <w:lang w:val="en-AU" w:eastAsia="en-AU"/>
              </w:rPr>
            </w:pPr>
            <w:r w:rsidRPr="00A018A0">
              <w:rPr>
                <w:rFonts w:cs="Arial"/>
                <w:b/>
                <w:sz w:val="20"/>
                <w:szCs w:val="20"/>
                <w:lang w:val="en-AU" w:eastAsia="en-AU"/>
              </w:rPr>
              <w:t xml:space="preserve">Appendix 1, </w:t>
            </w:r>
            <w:r w:rsidR="00C109BA" w:rsidRPr="00A018A0">
              <w:rPr>
                <w:rFonts w:cs="Arial"/>
                <w:b/>
                <w:sz w:val="20"/>
                <w:szCs w:val="20"/>
                <w:lang w:val="en-AU" w:eastAsia="en-AU"/>
              </w:rPr>
              <w:t>6.1</w:t>
            </w:r>
            <w:r w:rsidR="000229E9" w:rsidRPr="00A018A0">
              <w:rPr>
                <w:rFonts w:cs="Arial"/>
                <w:b/>
                <w:sz w:val="20"/>
                <w:szCs w:val="20"/>
                <w:lang w:val="en-AU" w:eastAsia="en-AU"/>
              </w:rPr>
              <w:t xml:space="preserve"> Public utility infrastructure</w:t>
            </w:r>
          </w:p>
          <w:p w14:paraId="77BF8837" w14:textId="77777777" w:rsidR="000229E9" w:rsidRPr="00A018A0" w:rsidRDefault="000229E9" w:rsidP="009A7DC0">
            <w:pPr>
              <w:spacing w:before="20" w:after="20"/>
              <w:jc w:val="both"/>
              <w:rPr>
                <w:rFonts w:cs="Arial"/>
                <w:color w:val="000000"/>
                <w:sz w:val="20"/>
                <w:szCs w:val="20"/>
                <w:lang w:val="en-AU"/>
              </w:rPr>
            </w:pPr>
          </w:p>
          <w:p w14:paraId="09D99DB8" w14:textId="77777777" w:rsidR="000229E9" w:rsidRPr="00A018A0" w:rsidRDefault="000229E9" w:rsidP="009A7DC0">
            <w:pPr>
              <w:spacing w:before="20" w:after="20"/>
              <w:jc w:val="both"/>
              <w:rPr>
                <w:rFonts w:cs="Arial"/>
                <w:sz w:val="20"/>
                <w:szCs w:val="20"/>
                <w:lang w:val="en-AU" w:eastAsia="en-AU"/>
              </w:rPr>
            </w:pPr>
            <w:r w:rsidRPr="00A018A0">
              <w:rPr>
                <w:rFonts w:cs="Arial"/>
                <w:color w:val="000000"/>
                <w:sz w:val="20"/>
                <w:szCs w:val="20"/>
                <w:lang w:val="en-AU"/>
              </w:rPr>
              <w:t xml:space="preserve">Development consent must not be granted for development on land unless the </w:t>
            </w:r>
            <w:r w:rsidR="00150F54" w:rsidRPr="00A018A0">
              <w:rPr>
                <w:rFonts w:cs="Arial"/>
                <w:color w:val="000000"/>
                <w:sz w:val="20"/>
                <w:szCs w:val="20"/>
                <w:lang w:val="en-AU"/>
              </w:rPr>
              <w:t>consent authority</w:t>
            </w:r>
            <w:r w:rsidRPr="00A018A0">
              <w:rPr>
                <w:rFonts w:cs="Arial"/>
                <w:color w:val="000000"/>
                <w:sz w:val="20"/>
                <w:szCs w:val="20"/>
                <w:lang w:val="en-AU"/>
              </w:rPr>
              <w:t xml:space="preserve"> is satisfied that any public utility infrastructure that is essential for the proposed development is available or that adequate arrangements have been made to make that infrastructure available when it is required</w:t>
            </w:r>
            <w:r w:rsidR="00150F54" w:rsidRPr="00A018A0">
              <w:rPr>
                <w:rFonts w:cs="Arial"/>
                <w:color w:val="000000"/>
                <w:sz w:val="20"/>
                <w:szCs w:val="20"/>
                <w:lang w:val="en-AU"/>
              </w:rPr>
              <w:t>.</w:t>
            </w:r>
          </w:p>
        </w:tc>
        <w:tc>
          <w:tcPr>
            <w:tcW w:w="3969" w:type="dxa"/>
          </w:tcPr>
          <w:p w14:paraId="7C845982" w14:textId="2CF0B829" w:rsidR="000229E9" w:rsidRPr="00A018A0" w:rsidRDefault="00C70B6C" w:rsidP="009A7DC0">
            <w:pPr>
              <w:spacing w:before="20" w:after="20"/>
              <w:jc w:val="both"/>
              <w:rPr>
                <w:rFonts w:cs="Arial"/>
                <w:sz w:val="20"/>
                <w:szCs w:val="20"/>
                <w:lang w:val="en-AU" w:eastAsia="en-AU"/>
              </w:rPr>
            </w:pPr>
            <w:r w:rsidRPr="00A018A0">
              <w:rPr>
                <w:rFonts w:cs="Arial"/>
                <w:sz w:val="20"/>
                <w:szCs w:val="20"/>
                <w:lang w:val="en-AU" w:eastAsia="en-AU"/>
              </w:rPr>
              <w:t>Council is satisfied that the required public utility infrastructure is available to the site.</w:t>
            </w:r>
          </w:p>
        </w:tc>
        <w:tc>
          <w:tcPr>
            <w:tcW w:w="1843" w:type="dxa"/>
          </w:tcPr>
          <w:p w14:paraId="7C6ABCDF" w14:textId="39B86544" w:rsidR="000229E9" w:rsidRPr="00A018A0" w:rsidRDefault="00D22647" w:rsidP="009A7DC0">
            <w:pPr>
              <w:spacing w:before="20" w:after="20"/>
              <w:jc w:val="both"/>
              <w:rPr>
                <w:rFonts w:cs="Arial"/>
                <w:bCs/>
                <w:sz w:val="20"/>
                <w:szCs w:val="20"/>
                <w:lang w:val="en-AU" w:eastAsia="en-AU"/>
              </w:rPr>
            </w:pPr>
            <w:r w:rsidRPr="00A018A0">
              <w:rPr>
                <w:rFonts w:cs="Arial"/>
                <w:bCs/>
                <w:sz w:val="20"/>
                <w:szCs w:val="20"/>
                <w:lang w:val="en-AU" w:eastAsia="en-AU"/>
              </w:rPr>
              <w:t>Yes.</w:t>
            </w:r>
          </w:p>
        </w:tc>
      </w:tr>
    </w:tbl>
    <w:p w14:paraId="1BE13399" w14:textId="77777777" w:rsidR="00F40B18" w:rsidRPr="00A018A0" w:rsidRDefault="00F40B18" w:rsidP="009A7DC0">
      <w:pPr>
        <w:jc w:val="both"/>
        <w:rPr>
          <w:lang w:val="en-AU"/>
        </w:rPr>
      </w:pPr>
    </w:p>
    <w:sectPr w:rsidR="00F40B18" w:rsidRPr="00A018A0"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AEB8" w14:textId="77777777" w:rsidR="00BB2CE6" w:rsidRDefault="00BB2CE6" w:rsidP="003172D8">
      <w:r>
        <w:separator/>
      </w:r>
    </w:p>
  </w:endnote>
  <w:endnote w:type="continuationSeparator" w:id="0">
    <w:p w14:paraId="0BF36AD4" w14:textId="77777777" w:rsidR="00BB2CE6" w:rsidRDefault="00BB2CE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67D01E21" w14:textId="77777777"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14:paraId="3620CD41" w14:textId="77777777"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52C7B" w14:textId="77777777" w:rsidR="00BB2CE6" w:rsidRDefault="00BB2CE6" w:rsidP="003172D8">
      <w:r>
        <w:separator/>
      </w:r>
    </w:p>
  </w:footnote>
  <w:footnote w:type="continuationSeparator" w:id="0">
    <w:p w14:paraId="565F7B33" w14:textId="77777777" w:rsidR="00BB2CE6" w:rsidRDefault="00BB2CE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93EE" w14:textId="77777777"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14:paraId="6278EC0C" w14:textId="77777777" w:rsidR="00B8190E" w:rsidRDefault="00B8190E" w:rsidP="00B8190E">
    <w:pPr>
      <w:pStyle w:val="Header"/>
      <w:tabs>
        <w:tab w:val="clear" w:pos="4513"/>
        <w:tab w:val="clear" w:pos="9026"/>
        <w:tab w:val="left" w:pos="5798"/>
      </w:tabs>
    </w:pPr>
  </w:p>
  <w:p w14:paraId="5404795A" w14:textId="77777777"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24B70"/>
    <w:multiLevelType w:val="hybridMultilevel"/>
    <w:tmpl w:val="F83835D6"/>
    <w:lvl w:ilvl="0" w:tplc="0C090001">
      <w:start w:val="1"/>
      <w:numFmt w:val="bullet"/>
      <w:lvlText w:val=""/>
      <w:lvlJc w:val="left"/>
      <w:pPr>
        <w:ind w:left="360" w:hanging="360"/>
      </w:pPr>
      <w:rPr>
        <w:rFonts w:ascii="Symbol" w:hAnsi="Symbol" w:hint="default"/>
      </w:rPr>
    </w:lvl>
    <w:lvl w:ilvl="1" w:tplc="BFACD998">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drawingGridHorizontalSpacing w:val="12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72377"/>
    <w:rsid w:val="000747CD"/>
    <w:rsid w:val="00077437"/>
    <w:rsid w:val="00077D9B"/>
    <w:rsid w:val="00080148"/>
    <w:rsid w:val="00081877"/>
    <w:rsid w:val="000838B6"/>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8C4"/>
    <w:rsid w:val="001405EF"/>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24784"/>
    <w:rsid w:val="00225C72"/>
    <w:rsid w:val="002265E3"/>
    <w:rsid w:val="00230537"/>
    <w:rsid w:val="002341F0"/>
    <w:rsid w:val="0024099A"/>
    <w:rsid w:val="00241EFD"/>
    <w:rsid w:val="002430DF"/>
    <w:rsid w:val="00245CC6"/>
    <w:rsid w:val="00247A48"/>
    <w:rsid w:val="002515B7"/>
    <w:rsid w:val="00251F3E"/>
    <w:rsid w:val="00252C17"/>
    <w:rsid w:val="00252C33"/>
    <w:rsid w:val="002628F0"/>
    <w:rsid w:val="00265A74"/>
    <w:rsid w:val="00274012"/>
    <w:rsid w:val="002756C7"/>
    <w:rsid w:val="00276638"/>
    <w:rsid w:val="00276769"/>
    <w:rsid w:val="00280CA5"/>
    <w:rsid w:val="0028163B"/>
    <w:rsid w:val="002871CA"/>
    <w:rsid w:val="0029079C"/>
    <w:rsid w:val="002927CE"/>
    <w:rsid w:val="002A2A91"/>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172D8"/>
    <w:rsid w:val="00317866"/>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E05"/>
    <w:rsid w:val="00495328"/>
    <w:rsid w:val="004A34BA"/>
    <w:rsid w:val="004A5ED2"/>
    <w:rsid w:val="004A6961"/>
    <w:rsid w:val="004A70F3"/>
    <w:rsid w:val="004B040F"/>
    <w:rsid w:val="004B6B9C"/>
    <w:rsid w:val="004C1419"/>
    <w:rsid w:val="004C3644"/>
    <w:rsid w:val="004D71D1"/>
    <w:rsid w:val="004E0A4E"/>
    <w:rsid w:val="004E1F07"/>
    <w:rsid w:val="004E5B67"/>
    <w:rsid w:val="004E6034"/>
    <w:rsid w:val="004F1C52"/>
    <w:rsid w:val="004F2010"/>
    <w:rsid w:val="005027FC"/>
    <w:rsid w:val="00503F30"/>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828EA"/>
    <w:rsid w:val="00585D2C"/>
    <w:rsid w:val="00590A63"/>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41C9"/>
    <w:rsid w:val="006D49C2"/>
    <w:rsid w:val="006E0223"/>
    <w:rsid w:val="006E16D6"/>
    <w:rsid w:val="006E22CB"/>
    <w:rsid w:val="006F14F4"/>
    <w:rsid w:val="00704CA9"/>
    <w:rsid w:val="007050B3"/>
    <w:rsid w:val="007113B4"/>
    <w:rsid w:val="00723E3B"/>
    <w:rsid w:val="0073050A"/>
    <w:rsid w:val="00730D1B"/>
    <w:rsid w:val="00732C7C"/>
    <w:rsid w:val="007347AE"/>
    <w:rsid w:val="00735B67"/>
    <w:rsid w:val="007370A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C24F5"/>
    <w:rsid w:val="007C2746"/>
    <w:rsid w:val="007C3368"/>
    <w:rsid w:val="007C3C0C"/>
    <w:rsid w:val="007C3EE0"/>
    <w:rsid w:val="007C42E1"/>
    <w:rsid w:val="007C4F28"/>
    <w:rsid w:val="007C51C4"/>
    <w:rsid w:val="007C5727"/>
    <w:rsid w:val="007C7B28"/>
    <w:rsid w:val="007D2ADA"/>
    <w:rsid w:val="007D66B6"/>
    <w:rsid w:val="007E169D"/>
    <w:rsid w:val="007E2DB5"/>
    <w:rsid w:val="007E4A2D"/>
    <w:rsid w:val="007E71B1"/>
    <w:rsid w:val="007E7778"/>
    <w:rsid w:val="007F1037"/>
    <w:rsid w:val="007F2703"/>
    <w:rsid w:val="007F60AB"/>
    <w:rsid w:val="00800817"/>
    <w:rsid w:val="00803E23"/>
    <w:rsid w:val="0081343F"/>
    <w:rsid w:val="00813E60"/>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726C"/>
    <w:rsid w:val="00867CD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A7DC0"/>
    <w:rsid w:val="009B1E23"/>
    <w:rsid w:val="009B7768"/>
    <w:rsid w:val="009C3737"/>
    <w:rsid w:val="009C417C"/>
    <w:rsid w:val="009C74D1"/>
    <w:rsid w:val="009D21E7"/>
    <w:rsid w:val="009D2FFF"/>
    <w:rsid w:val="009D5B8A"/>
    <w:rsid w:val="009D7B4C"/>
    <w:rsid w:val="009E03FF"/>
    <w:rsid w:val="009E3104"/>
    <w:rsid w:val="009E3726"/>
    <w:rsid w:val="009E3BB1"/>
    <w:rsid w:val="009E4E30"/>
    <w:rsid w:val="009E5E4F"/>
    <w:rsid w:val="009E61E2"/>
    <w:rsid w:val="009F11F5"/>
    <w:rsid w:val="009F5185"/>
    <w:rsid w:val="009F5256"/>
    <w:rsid w:val="00A018A0"/>
    <w:rsid w:val="00A03FCC"/>
    <w:rsid w:val="00A043DF"/>
    <w:rsid w:val="00A07D45"/>
    <w:rsid w:val="00A10C88"/>
    <w:rsid w:val="00A11145"/>
    <w:rsid w:val="00A123B7"/>
    <w:rsid w:val="00A16D36"/>
    <w:rsid w:val="00A16D52"/>
    <w:rsid w:val="00A23669"/>
    <w:rsid w:val="00A2694D"/>
    <w:rsid w:val="00A3411B"/>
    <w:rsid w:val="00A40E1F"/>
    <w:rsid w:val="00A41928"/>
    <w:rsid w:val="00A51CAA"/>
    <w:rsid w:val="00A52C37"/>
    <w:rsid w:val="00A57C4A"/>
    <w:rsid w:val="00A604FD"/>
    <w:rsid w:val="00A7142D"/>
    <w:rsid w:val="00A84E25"/>
    <w:rsid w:val="00A86BE3"/>
    <w:rsid w:val="00A90BCA"/>
    <w:rsid w:val="00A94646"/>
    <w:rsid w:val="00AA1FCC"/>
    <w:rsid w:val="00AA4184"/>
    <w:rsid w:val="00AA4FFF"/>
    <w:rsid w:val="00AA774D"/>
    <w:rsid w:val="00AB3DB3"/>
    <w:rsid w:val="00AB5C3B"/>
    <w:rsid w:val="00AB69AC"/>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67E09"/>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1687"/>
    <w:rsid w:val="00C04003"/>
    <w:rsid w:val="00C07507"/>
    <w:rsid w:val="00C109BA"/>
    <w:rsid w:val="00C12569"/>
    <w:rsid w:val="00C17768"/>
    <w:rsid w:val="00C201E3"/>
    <w:rsid w:val="00C278F3"/>
    <w:rsid w:val="00C326B3"/>
    <w:rsid w:val="00C32FB8"/>
    <w:rsid w:val="00C35C6F"/>
    <w:rsid w:val="00C50834"/>
    <w:rsid w:val="00C55360"/>
    <w:rsid w:val="00C572EB"/>
    <w:rsid w:val="00C61955"/>
    <w:rsid w:val="00C62F0D"/>
    <w:rsid w:val="00C64766"/>
    <w:rsid w:val="00C64EFA"/>
    <w:rsid w:val="00C65A87"/>
    <w:rsid w:val="00C70B6C"/>
    <w:rsid w:val="00C808F5"/>
    <w:rsid w:val="00C8299B"/>
    <w:rsid w:val="00C85FE8"/>
    <w:rsid w:val="00C920BF"/>
    <w:rsid w:val="00C96F94"/>
    <w:rsid w:val="00CA1C23"/>
    <w:rsid w:val="00CA1C33"/>
    <w:rsid w:val="00CA25EB"/>
    <w:rsid w:val="00CA509C"/>
    <w:rsid w:val="00CA65E6"/>
    <w:rsid w:val="00CA7CAB"/>
    <w:rsid w:val="00CB1B33"/>
    <w:rsid w:val="00CB283D"/>
    <w:rsid w:val="00CC0EAF"/>
    <w:rsid w:val="00CC4D9F"/>
    <w:rsid w:val="00CD127E"/>
    <w:rsid w:val="00CD2400"/>
    <w:rsid w:val="00CD2542"/>
    <w:rsid w:val="00CD25FF"/>
    <w:rsid w:val="00CD4E3C"/>
    <w:rsid w:val="00CE28BE"/>
    <w:rsid w:val="00CE5538"/>
    <w:rsid w:val="00CE6ED3"/>
    <w:rsid w:val="00CF2769"/>
    <w:rsid w:val="00CF3F92"/>
    <w:rsid w:val="00D00513"/>
    <w:rsid w:val="00D01884"/>
    <w:rsid w:val="00D024F3"/>
    <w:rsid w:val="00D0487A"/>
    <w:rsid w:val="00D06A2F"/>
    <w:rsid w:val="00D10CDD"/>
    <w:rsid w:val="00D1215D"/>
    <w:rsid w:val="00D12EA7"/>
    <w:rsid w:val="00D147DC"/>
    <w:rsid w:val="00D148DF"/>
    <w:rsid w:val="00D20C7E"/>
    <w:rsid w:val="00D22647"/>
    <w:rsid w:val="00D247C2"/>
    <w:rsid w:val="00D25ACE"/>
    <w:rsid w:val="00D32F10"/>
    <w:rsid w:val="00D43430"/>
    <w:rsid w:val="00D43FB2"/>
    <w:rsid w:val="00D5187E"/>
    <w:rsid w:val="00D52B4A"/>
    <w:rsid w:val="00D54DF9"/>
    <w:rsid w:val="00D60567"/>
    <w:rsid w:val="00D72AAD"/>
    <w:rsid w:val="00D7597F"/>
    <w:rsid w:val="00D770C4"/>
    <w:rsid w:val="00D77BB7"/>
    <w:rsid w:val="00D84366"/>
    <w:rsid w:val="00D860EA"/>
    <w:rsid w:val="00D8728B"/>
    <w:rsid w:val="00D87AEF"/>
    <w:rsid w:val="00D9663A"/>
    <w:rsid w:val="00DA0F5A"/>
    <w:rsid w:val="00DA515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53DE"/>
    <w:rsid w:val="00F25AC7"/>
    <w:rsid w:val="00F26558"/>
    <w:rsid w:val="00F2655C"/>
    <w:rsid w:val="00F2704E"/>
    <w:rsid w:val="00F273A8"/>
    <w:rsid w:val="00F30580"/>
    <w:rsid w:val="00F34E31"/>
    <w:rsid w:val="00F3541B"/>
    <w:rsid w:val="00F40B18"/>
    <w:rsid w:val="00F40B1B"/>
    <w:rsid w:val="00F41EDF"/>
    <w:rsid w:val="00F454A1"/>
    <w:rsid w:val="00F55C02"/>
    <w:rsid w:val="00F55EF5"/>
    <w:rsid w:val="00F5644B"/>
    <w:rsid w:val="00F60019"/>
    <w:rsid w:val="00F61879"/>
    <w:rsid w:val="00F64ED2"/>
    <w:rsid w:val="00F72A9A"/>
    <w:rsid w:val="00F7328A"/>
    <w:rsid w:val="00F80B54"/>
    <w:rsid w:val="00F85B67"/>
    <w:rsid w:val="00F86A11"/>
    <w:rsid w:val="00F945B4"/>
    <w:rsid w:val="00F95408"/>
    <w:rsid w:val="00F97F4E"/>
    <w:rsid w:val="00FA0CDE"/>
    <w:rsid w:val="00FA40EC"/>
    <w:rsid w:val="00FB1B31"/>
    <w:rsid w:val="00FB3841"/>
    <w:rsid w:val="00FB785C"/>
    <w:rsid w:val="00FB7DCC"/>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705B1FA"/>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1345">
      <w:bodyDiv w:val="1"/>
      <w:marLeft w:val="0"/>
      <w:marRight w:val="0"/>
      <w:marTop w:val="0"/>
      <w:marBottom w:val="0"/>
      <w:divBdr>
        <w:top w:val="none" w:sz="0" w:space="0" w:color="auto"/>
        <w:left w:val="none" w:sz="0" w:space="0" w:color="auto"/>
        <w:bottom w:val="none" w:sz="0" w:space="0" w:color="auto"/>
        <w:right w:val="none" w:sz="0" w:space="0" w:color="auto"/>
      </w:divBdr>
      <w:divsChild>
        <w:div w:id="1513838815">
          <w:blockQuote w:val="1"/>
          <w:marLeft w:val="400"/>
          <w:marRight w:val="0"/>
          <w:marTop w:val="160"/>
          <w:marBottom w:val="200"/>
          <w:divBdr>
            <w:top w:val="none" w:sz="0" w:space="0" w:color="auto"/>
            <w:left w:val="none" w:sz="0" w:space="0" w:color="auto"/>
            <w:bottom w:val="none" w:sz="0" w:space="0" w:color="auto"/>
            <w:right w:val="none" w:sz="0" w:space="0" w:color="auto"/>
          </w:divBdr>
        </w:div>
        <w:div w:id="1987273997">
          <w:blockQuote w:val="1"/>
          <w:marLeft w:val="400"/>
          <w:marRight w:val="0"/>
          <w:marTop w:val="160"/>
          <w:marBottom w:val="200"/>
          <w:divBdr>
            <w:top w:val="none" w:sz="0" w:space="0" w:color="auto"/>
            <w:left w:val="none" w:sz="0" w:space="0" w:color="auto"/>
            <w:bottom w:val="none" w:sz="0" w:space="0" w:color="auto"/>
            <w:right w:val="none" w:sz="0" w:space="0" w:color="auto"/>
          </w:divBdr>
        </w:div>
        <w:div w:id="1154880197">
          <w:blockQuote w:val="1"/>
          <w:marLeft w:val="400"/>
          <w:marRight w:val="0"/>
          <w:marTop w:val="160"/>
          <w:marBottom w:val="200"/>
          <w:divBdr>
            <w:top w:val="none" w:sz="0" w:space="0" w:color="auto"/>
            <w:left w:val="none" w:sz="0" w:space="0" w:color="auto"/>
            <w:bottom w:val="none" w:sz="0" w:space="0" w:color="auto"/>
            <w:right w:val="none" w:sz="0" w:space="0" w:color="auto"/>
          </w:divBdr>
        </w:div>
        <w:div w:id="791946485">
          <w:blockQuote w:val="1"/>
          <w:marLeft w:val="400"/>
          <w:marRight w:val="0"/>
          <w:marTop w:val="160"/>
          <w:marBottom w:val="200"/>
          <w:divBdr>
            <w:top w:val="none" w:sz="0" w:space="0" w:color="auto"/>
            <w:left w:val="none" w:sz="0" w:space="0" w:color="auto"/>
            <w:bottom w:val="none" w:sz="0" w:space="0" w:color="auto"/>
            <w:right w:val="none" w:sz="0" w:space="0" w:color="auto"/>
          </w:divBdr>
        </w:div>
        <w:div w:id="1431655613">
          <w:blockQuote w:val="1"/>
          <w:marLeft w:val="400"/>
          <w:marRight w:val="0"/>
          <w:marTop w:val="160"/>
          <w:marBottom w:val="200"/>
          <w:divBdr>
            <w:top w:val="none" w:sz="0" w:space="0" w:color="auto"/>
            <w:left w:val="none" w:sz="0" w:space="0" w:color="auto"/>
            <w:bottom w:val="none" w:sz="0" w:space="0" w:color="auto"/>
            <w:right w:val="none" w:sz="0" w:space="0" w:color="auto"/>
          </w:divBdr>
        </w:div>
        <w:div w:id="2131432716">
          <w:blockQuote w:val="1"/>
          <w:marLeft w:val="400"/>
          <w:marRight w:val="0"/>
          <w:marTop w:val="160"/>
          <w:marBottom w:val="200"/>
          <w:divBdr>
            <w:top w:val="none" w:sz="0" w:space="0" w:color="auto"/>
            <w:left w:val="none" w:sz="0" w:space="0" w:color="auto"/>
            <w:bottom w:val="none" w:sz="0" w:space="0" w:color="auto"/>
            <w:right w:val="none" w:sz="0" w:space="0" w:color="auto"/>
          </w:divBdr>
        </w:div>
        <w:div w:id="18614300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989484">
      <w:bodyDiv w:val="1"/>
      <w:marLeft w:val="0"/>
      <w:marRight w:val="0"/>
      <w:marTop w:val="0"/>
      <w:marBottom w:val="0"/>
      <w:divBdr>
        <w:top w:val="none" w:sz="0" w:space="0" w:color="auto"/>
        <w:left w:val="none" w:sz="0" w:space="0" w:color="auto"/>
        <w:bottom w:val="none" w:sz="0" w:space="0" w:color="auto"/>
        <w:right w:val="none" w:sz="0" w:space="0" w:color="auto"/>
      </w:divBdr>
      <w:divsChild>
        <w:div w:id="700011264">
          <w:blockQuote w:val="1"/>
          <w:marLeft w:val="400"/>
          <w:marRight w:val="0"/>
          <w:marTop w:val="160"/>
          <w:marBottom w:val="200"/>
          <w:divBdr>
            <w:top w:val="none" w:sz="0" w:space="0" w:color="auto"/>
            <w:left w:val="none" w:sz="0" w:space="0" w:color="auto"/>
            <w:bottom w:val="none" w:sz="0" w:space="0" w:color="auto"/>
            <w:right w:val="none" w:sz="0" w:space="0" w:color="auto"/>
          </w:divBdr>
        </w:div>
        <w:div w:id="1093361561">
          <w:blockQuote w:val="1"/>
          <w:marLeft w:val="400"/>
          <w:marRight w:val="0"/>
          <w:marTop w:val="160"/>
          <w:marBottom w:val="200"/>
          <w:divBdr>
            <w:top w:val="none" w:sz="0" w:space="0" w:color="auto"/>
            <w:left w:val="none" w:sz="0" w:space="0" w:color="auto"/>
            <w:bottom w:val="none" w:sz="0" w:space="0" w:color="auto"/>
            <w:right w:val="none" w:sz="0" w:space="0" w:color="auto"/>
          </w:divBdr>
        </w:div>
        <w:div w:id="644971328">
          <w:blockQuote w:val="1"/>
          <w:marLeft w:val="400"/>
          <w:marRight w:val="0"/>
          <w:marTop w:val="160"/>
          <w:marBottom w:val="200"/>
          <w:divBdr>
            <w:top w:val="none" w:sz="0" w:space="0" w:color="auto"/>
            <w:left w:val="none" w:sz="0" w:space="0" w:color="auto"/>
            <w:bottom w:val="none" w:sz="0" w:space="0" w:color="auto"/>
            <w:right w:val="none" w:sz="0" w:space="0" w:color="auto"/>
          </w:divBdr>
        </w:div>
        <w:div w:id="1970629264">
          <w:blockQuote w:val="1"/>
          <w:marLeft w:val="400"/>
          <w:marRight w:val="0"/>
          <w:marTop w:val="160"/>
          <w:marBottom w:val="200"/>
          <w:divBdr>
            <w:top w:val="none" w:sz="0" w:space="0" w:color="auto"/>
            <w:left w:val="none" w:sz="0" w:space="0" w:color="auto"/>
            <w:bottom w:val="none" w:sz="0" w:space="0" w:color="auto"/>
            <w:right w:val="none" w:sz="0" w:space="0" w:color="auto"/>
          </w:divBdr>
        </w:div>
        <w:div w:id="878123413">
          <w:blockQuote w:val="1"/>
          <w:marLeft w:val="400"/>
          <w:marRight w:val="0"/>
          <w:marTop w:val="160"/>
          <w:marBottom w:val="200"/>
          <w:divBdr>
            <w:top w:val="none" w:sz="0" w:space="0" w:color="auto"/>
            <w:left w:val="none" w:sz="0" w:space="0" w:color="auto"/>
            <w:bottom w:val="none" w:sz="0" w:space="0" w:color="auto"/>
            <w:right w:val="none" w:sz="0" w:space="0" w:color="auto"/>
          </w:divBdr>
        </w:div>
        <w:div w:id="1826894762">
          <w:blockQuote w:val="1"/>
          <w:marLeft w:val="400"/>
          <w:marRight w:val="0"/>
          <w:marTop w:val="160"/>
          <w:marBottom w:val="200"/>
          <w:divBdr>
            <w:top w:val="none" w:sz="0" w:space="0" w:color="auto"/>
            <w:left w:val="none" w:sz="0" w:space="0" w:color="auto"/>
            <w:bottom w:val="none" w:sz="0" w:space="0" w:color="auto"/>
            <w:right w:val="none" w:sz="0" w:space="0" w:color="auto"/>
          </w:divBdr>
        </w:div>
        <w:div w:id="631979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E565-821E-45F7-B650-9A55938F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146</cp:revision>
  <dcterms:created xsi:type="dcterms:W3CDTF">2018-02-28T02:34:00Z</dcterms:created>
  <dcterms:modified xsi:type="dcterms:W3CDTF">2020-04-22T21:25:00Z</dcterms:modified>
</cp:coreProperties>
</file>